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22209" w14:textId="77777777" w:rsidR="000C5199" w:rsidRDefault="000C5199" w:rsidP="000C5199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72"/>
          <w:szCs w:val="72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72"/>
          <w:szCs w:val="72"/>
        </w:rPr>
        <w:t>ZÁMĚR :</w:t>
      </w:r>
      <w:proofErr w:type="gramEnd"/>
    </w:p>
    <w:p w14:paraId="2E40B173" w14:textId="77777777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Obec Bílá Lhota má záměr podle § 39 odst. 1 zákona</w:t>
      </w:r>
    </w:p>
    <w:p w14:paraId="02E45E20" w14:textId="1BCCE138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128/2000 Sb. v </w:t>
      </w:r>
      <w:r>
        <w:rPr>
          <w:rFonts w:ascii="TimesNewRomanPS-BoldMT" w:hAnsi="TimesNewRomanPS-BoldMT" w:cs="TimesNewRomanPS-BoldMT"/>
          <w:b/>
          <w:bCs/>
          <w:sz w:val="36"/>
          <w:szCs w:val="36"/>
        </w:rPr>
        <w:t>platném znění</w:t>
      </w:r>
    </w:p>
    <w:p w14:paraId="1DE8D845" w14:textId="77777777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14:paraId="6A17B6BA" w14:textId="4CC5D420" w:rsidR="000C5199" w:rsidRP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1) </w:t>
      </w:r>
      <w:r>
        <w:rPr>
          <w:rFonts w:ascii="TimesNewRomanPS-BoldMT" w:hAnsi="TimesNewRomanPS-BoldMT" w:cs="TimesNewRomanPS-BoldMT"/>
          <w:b/>
          <w:bCs/>
          <w:sz w:val="36"/>
          <w:szCs w:val="36"/>
        </w:rPr>
        <w:t>Pronajmout v katastrálním území Bílá Lhota:</w:t>
      </w:r>
    </w:p>
    <w:p w14:paraId="0950C544" w14:textId="08BD8804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- </w:t>
      </w:r>
      <w:r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pozemek </w:t>
      </w:r>
      <w:proofErr w:type="spellStart"/>
      <w:r>
        <w:rPr>
          <w:rFonts w:ascii="TimesNewRomanPS-BoldMT" w:hAnsi="TimesNewRomanPS-BoldMT" w:cs="TimesNewRomanPS-BoldMT"/>
          <w:b/>
          <w:bCs/>
          <w:sz w:val="36"/>
          <w:szCs w:val="36"/>
        </w:rPr>
        <w:t>parc.č</w:t>
      </w:r>
      <w:proofErr w:type="spellEnd"/>
      <w:r>
        <w:rPr>
          <w:rFonts w:ascii="TimesNewRomanPS-BoldMT" w:hAnsi="TimesNewRomanPS-BoldMT" w:cs="TimesNewRomanPS-BoldMT"/>
          <w:b/>
          <w:bCs/>
          <w:sz w:val="36"/>
          <w:szCs w:val="36"/>
        </w:rPr>
        <w:t>. 84 o celkové výměře 995 m2 – trvalý</w:t>
      </w:r>
    </w:p>
    <w:p w14:paraId="7AAC7A32" w14:textId="0DD1E371" w:rsidR="000C5199" w:rsidRDefault="00C7233A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 </w:t>
      </w:r>
      <w:r w:rsidR="000C5199">
        <w:rPr>
          <w:rFonts w:ascii="TimesNewRomanPS-BoldMT" w:hAnsi="TimesNewRomanPS-BoldMT" w:cs="TimesNewRomanPS-BoldMT"/>
          <w:b/>
          <w:bCs/>
          <w:sz w:val="36"/>
          <w:szCs w:val="36"/>
        </w:rPr>
        <w:t>travní porost</w:t>
      </w:r>
    </w:p>
    <w:p w14:paraId="5EBEB5EE" w14:textId="60CEDA12" w:rsidR="000C5199" w:rsidRDefault="00C7233A" w:rsidP="00C7233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C7233A">
        <w:rPr>
          <w:rFonts w:ascii="TimesNewRomanPS-BoldMT" w:hAnsi="TimesNewRomanPS-BoldMT" w:cs="TimesNewRomanPS-BoldMT"/>
          <w:b/>
          <w:bCs/>
          <w:noProof/>
          <w:sz w:val="36"/>
          <w:szCs w:val="36"/>
        </w:rPr>
        <w:drawing>
          <wp:inline distT="0" distB="0" distL="0" distR="0" wp14:anchorId="5F98219F" wp14:editId="3ABA11A5">
            <wp:extent cx="2471369" cy="2162175"/>
            <wp:effectExtent l="0" t="0" r="571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99" cy="216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FC2E9" w14:textId="77777777" w:rsid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>2) Odprodat část pozemku</w:t>
      </w:r>
      <w:r w:rsidR="0036396F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v katastrálním území Měník</w:t>
      </w:r>
      <w:r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</w:t>
      </w:r>
      <w:r w:rsidR="00C7233A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                              </w:t>
      </w:r>
    </w:p>
    <w:p w14:paraId="659D767C" w14:textId="77777777" w:rsidR="00C7233A" w:rsidRDefault="00C7233A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   </w:t>
      </w:r>
      <w:proofErr w:type="spellStart"/>
      <w:r w:rsidR="000C5199">
        <w:rPr>
          <w:rFonts w:ascii="TimesNewRomanPS-BoldMT" w:hAnsi="TimesNewRomanPS-BoldMT" w:cs="TimesNewRomanPS-BoldMT"/>
          <w:b/>
          <w:bCs/>
          <w:sz w:val="36"/>
          <w:szCs w:val="36"/>
        </w:rPr>
        <w:t>parc.č</w:t>
      </w:r>
      <w:proofErr w:type="spellEnd"/>
      <w:r w:rsidR="000C5199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. </w:t>
      </w:r>
      <w:r w:rsidR="0036396F">
        <w:rPr>
          <w:rFonts w:ascii="TimesNewRomanPS-BoldMT" w:hAnsi="TimesNewRomanPS-BoldMT" w:cs="TimesNewRomanPS-BoldMT"/>
          <w:b/>
          <w:bCs/>
          <w:sz w:val="36"/>
          <w:szCs w:val="36"/>
        </w:rPr>
        <w:t>223/1- ostatní plocha, ostatní komunikace</w:t>
      </w:r>
    </w:p>
    <w:p w14:paraId="6398EA4A" w14:textId="34E0D8CA" w:rsidR="000C5199" w:rsidRDefault="00C7233A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 </w:t>
      </w:r>
      <w:r w:rsidR="0036396F"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o</w:t>
      </w:r>
      <w:r>
        <w:rPr>
          <w:rFonts w:ascii="TimesNewRomanPS-BoldMT" w:hAnsi="TimesNewRomanPS-BoldMT" w:cs="TimesNewRomanPS-BoldMT"/>
          <w:b/>
          <w:bCs/>
          <w:sz w:val="36"/>
          <w:szCs w:val="36"/>
        </w:rPr>
        <w:t xml:space="preserve"> </w:t>
      </w:r>
      <w:r w:rsidR="0036396F">
        <w:rPr>
          <w:rFonts w:ascii="TimesNewRomanPS-BoldMT" w:hAnsi="TimesNewRomanPS-BoldMT" w:cs="TimesNewRomanPS-BoldMT"/>
          <w:b/>
          <w:bCs/>
          <w:sz w:val="36"/>
          <w:szCs w:val="36"/>
        </w:rPr>
        <w:t>celkové výměře 6937 m2.</w:t>
      </w:r>
    </w:p>
    <w:p w14:paraId="1D313F1F" w14:textId="0F43AD14" w:rsidR="000C5199" w:rsidRDefault="00C7233A" w:rsidP="00C7233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C7233A">
        <w:rPr>
          <w:rFonts w:ascii="TimesNewRomanPS-BoldMT" w:hAnsi="TimesNewRomanPS-BoldMT" w:cs="TimesNewRomanPS-BoldMT"/>
          <w:b/>
          <w:bCs/>
          <w:noProof/>
          <w:sz w:val="36"/>
          <w:szCs w:val="36"/>
        </w:rPr>
        <w:drawing>
          <wp:inline distT="0" distB="0" distL="0" distR="0" wp14:anchorId="07CE406B" wp14:editId="644BD8B7">
            <wp:extent cx="3000375" cy="1575924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07" cy="15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CEB8" w14:textId="77777777" w:rsidR="000C5199" w:rsidRP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7233A">
        <w:rPr>
          <w:rFonts w:ascii="TimesNewRomanPS-BoldMT" w:hAnsi="TimesNewRomanPS-BoldMT" w:cs="TimesNewRomanPS-BoldMT"/>
          <w:b/>
          <w:bCs/>
          <w:sz w:val="24"/>
          <w:szCs w:val="24"/>
        </w:rPr>
        <w:t>Případné nabídky lze uplatnit písemně na OÚ Bílá Lhota č.p. 1,</w:t>
      </w:r>
    </w:p>
    <w:p w14:paraId="297F3ABE" w14:textId="77777777" w:rsidR="000C5199" w:rsidRP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7233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783 21 </w:t>
      </w:r>
      <w:proofErr w:type="gramStart"/>
      <w:r w:rsidRPr="00C7233A">
        <w:rPr>
          <w:rFonts w:ascii="TimesNewRomanPS-BoldMT" w:hAnsi="TimesNewRomanPS-BoldMT" w:cs="TimesNewRomanPS-BoldMT"/>
          <w:b/>
          <w:bCs/>
          <w:sz w:val="24"/>
          <w:szCs w:val="24"/>
        </w:rPr>
        <w:t>Chudobín</w:t>
      </w:r>
      <w:proofErr w:type="gramEnd"/>
      <w:r w:rsidRPr="00C7233A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a to nejpozději do 1</w:t>
      </w:r>
      <w:r w:rsidRPr="00C7233A">
        <w:rPr>
          <w:rFonts w:ascii="Times New Roman" w:hAnsi="Times New Roman" w:cs="Times New Roman"/>
          <w:b/>
          <w:bCs/>
          <w:sz w:val="24"/>
          <w:szCs w:val="24"/>
        </w:rPr>
        <w:t>5-</w:t>
      </w:r>
      <w:r w:rsidRPr="00C7233A">
        <w:rPr>
          <w:rFonts w:ascii="TimesNewRomanPS-BoldMT" w:hAnsi="TimesNewRomanPS-BoldMT" w:cs="TimesNewRomanPS-BoldMT"/>
          <w:b/>
          <w:bCs/>
          <w:sz w:val="24"/>
          <w:szCs w:val="24"/>
        </w:rPr>
        <w:t>ti dnů od zveřejnění tohoto</w:t>
      </w:r>
    </w:p>
    <w:p w14:paraId="10FD52F5" w14:textId="054F391E" w:rsidR="000C5199" w:rsidRP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7233A">
        <w:rPr>
          <w:rFonts w:ascii="TimesNewRomanPS-BoldMT" w:hAnsi="TimesNewRomanPS-BoldMT" w:cs="TimesNewRomanPS-BoldMT"/>
          <w:b/>
          <w:bCs/>
          <w:sz w:val="24"/>
          <w:szCs w:val="24"/>
        </w:rPr>
        <w:t>záměru.</w:t>
      </w:r>
    </w:p>
    <w:p w14:paraId="4B4EF7DC" w14:textId="77777777" w:rsidR="000C5199" w:rsidRP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616442DD" w14:textId="77777777" w:rsidR="000C5199" w:rsidRP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C7233A">
        <w:rPr>
          <w:rFonts w:ascii="TimesNewRomanPS-BoldMT" w:hAnsi="TimesNewRomanPS-BoldMT" w:cs="TimesNewRomanPS-BoldMT"/>
          <w:b/>
          <w:bCs/>
          <w:sz w:val="24"/>
          <w:szCs w:val="24"/>
        </w:rPr>
        <w:t>Podrobnější informace obdržíte na OÚ Bílá Lhota nebo na tel. č.</w:t>
      </w:r>
    </w:p>
    <w:p w14:paraId="290FE941" w14:textId="32538C58" w:rsidR="000C5199" w:rsidRPr="00C7233A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33A">
        <w:rPr>
          <w:rFonts w:ascii="Times New Roman" w:hAnsi="Times New Roman" w:cs="Times New Roman"/>
          <w:b/>
          <w:bCs/>
          <w:sz w:val="24"/>
          <w:szCs w:val="24"/>
        </w:rPr>
        <w:t>585 340 078, mobil 724 184</w:t>
      </w:r>
      <w:r w:rsidRPr="00C7233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7233A">
        <w:rPr>
          <w:rFonts w:ascii="Times New Roman" w:hAnsi="Times New Roman" w:cs="Times New Roman"/>
          <w:b/>
          <w:bCs/>
          <w:sz w:val="24"/>
          <w:szCs w:val="24"/>
        </w:rPr>
        <w:t>368.</w:t>
      </w:r>
    </w:p>
    <w:p w14:paraId="437837B3" w14:textId="77777777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0BD4FB75" w14:textId="1F271179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>V Bílé Lhotě dne 19.</w:t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>5</w:t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>.202</w:t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>2</w:t>
      </w:r>
    </w:p>
    <w:p w14:paraId="5B1BD5FE" w14:textId="55ED5501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</w:p>
    <w:p w14:paraId="0CE2D824" w14:textId="77777777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</w:p>
    <w:p w14:paraId="04BF80F0" w14:textId="6DB9F598" w:rsidR="000C5199" w:rsidRDefault="000C5199" w:rsidP="000C519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3"/>
          <w:szCs w:val="23"/>
        </w:rPr>
      </w:pPr>
      <w:r>
        <w:rPr>
          <w:rFonts w:ascii="TimesNewRomanPS-BoldMT" w:hAnsi="TimesNewRomanPS-BoldMT" w:cs="TimesNewRomanPS-BoldMT"/>
          <w:b/>
          <w:bCs/>
          <w:sz w:val="23"/>
          <w:szCs w:val="23"/>
        </w:rPr>
        <w:t>Vyvěšeno: 19.</w:t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>5</w:t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>.202</w:t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>2</w:t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ab/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ab/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ab/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ab/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ab/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ab/>
      </w:r>
      <w:r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 Jan Balcárek</w:t>
      </w:r>
    </w:p>
    <w:p w14:paraId="2F5B76F1" w14:textId="44C427A3" w:rsidR="00C91B65" w:rsidRDefault="000C5199" w:rsidP="000C5199">
      <w:r>
        <w:rPr>
          <w:rFonts w:ascii="Calibri-Bold" w:hAnsi="Calibri-Bold" w:cs="Calibri-Bold"/>
          <w:b/>
          <w:bCs/>
          <w:sz w:val="23"/>
          <w:szCs w:val="23"/>
        </w:rPr>
        <w:t xml:space="preserve">Sejmuto: </w:t>
      </w:r>
      <w:r>
        <w:rPr>
          <w:rFonts w:ascii="Calibri-Bold" w:hAnsi="Calibri-Bold" w:cs="Calibri-Bold"/>
          <w:b/>
          <w:bCs/>
          <w:sz w:val="23"/>
          <w:szCs w:val="23"/>
        </w:rPr>
        <w:tab/>
      </w:r>
      <w:r>
        <w:rPr>
          <w:rFonts w:ascii="Calibri-Bold" w:hAnsi="Calibri-Bold" w:cs="Calibri-Bold"/>
          <w:b/>
          <w:bCs/>
          <w:sz w:val="23"/>
          <w:szCs w:val="23"/>
        </w:rPr>
        <w:tab/>
      </w:r>
      <w:r>
        <w:rPr>
          <w:rFonts w:ascii="Calibri-Bold" w:hAnsi="Calibri-Bold" w:cs="Calibri-Bold"/>
          <w:b/>
          <w:bCs/>
          <w:sz w:val="23"/>
          <w:szCs w:val="23"/>
        </w:rPr>
        <w:tab/>
      </w:r>
      <w:r>
        <w:rPr>
          <w:rFonts w:ascii="Calibri-Bold" w:hAnsi="Calibri-Bold" w:cs="Calibri-Bold"/>
          <w:b/>
          <w:bCs/>
          <w:sz w:val="23"/>
          <w:szCs w:val="23"/>
        </w:rPr>
        <w:tab/>
      </w:r>
      <w:r>
        <w:rPr>
          <w:rFonts w:ascii="Calibri-Bold" w:hAnsi="Calibri-Bold" w:cs="Calibri-Bold"/>
          <w:b/>
          <w:bCs/>
          <w:sz w:val="23"/>
          <w:szCs w:val="23"/>
        </w:rPr>
        <w:tab/>
      </w:r>
      <w:r>
        <w:rPr>
          <w:rFonts w:ascii="Calibri-Bold" w:hAnsi="Calibri-Bold" w:cs="Calibri-Bold"/>
          <w:b/>
          <w:bCs/>
          <w:sz w:val="23"/>
          <w:szCs w:val="23"/>
        </w:rPr>
        <w:tab/>
      </w:r>
      <w:r>
        <w:rPr>
          <w:rFonts w:ascii="Calibri-Bold" w:hAnsi="Calibri-Bold" w:cs="Calibri-Bold"/>
          <w:b/>
          <w:bCs/>
          <w:sz w:val="23"/>
          <w:szCs w:val="23"/>
        </w:rPr>
        <w:tab/>
        <w:t xml:space="preserve">     </w:t>
      </w:r>
      <w:r>
        <w:rPr>
          <w:rFonts w:ascii="Calibri-Bold" w:hAnsi="Calibri-Bold" w:cs="Calibri-Bold"/>
          <w:b/>
          <w:bCs/>
          <w:sz w:val="23"/>
          <w:szCs w:val="23"/>
        </w:rPr>
        <w:t>starosta</w:t>
      </w:r>
    </w:p>
    <w:sectPr w:rsidR="00C91B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199"/>
    <w:rsid w:val="000C5199"/>
    <w:rsid w:val="0036396F"/>
    <w:rsid w:val="00C7233A"/>
    <w:rsid w:val="00C9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E770"/>
  <w15:chartTrackingRefBased/>
  <w15:docId w15:val="{DC6E8F30-A73E-406B-98F3-AA58C99D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Bílá Lhota</dc:creator>
  <cp:keywords/>
  <dc:description/>
  <cp:lastModifiedBy>Obec Bílá Lhota</cp:lastModifiedBy>
  <cp:revision>2</cp:revision>
  <cp:lastPrinted>2022-05-17T12:43:00Z</cp:lastPrinted>
  <dcterms:created xsi:type="dcterms:W3CDTF">2022-05-17T12:47:00Z</dcterms:created>
  <dcterms:modified xsi:type="dcterms:W3CDTF">2022-05-17T12:47:00Z</dcterms:modified>
</cp:coreProperties>
</file>